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Privacy Policy</w:t>
      </w:r>
    </w:p>
    <w:p w:rsidR="00000000" w:rsidDel="00000000" w:rsidP="00000000" w:rsidRDefault="00000000" w:rsidRPr="00000000" w14:paraId="00000002">
      <w:pPr>
        <w:spacing w:line="240" w:lineRule="auto"/>
        <w:jc w:val="both"/>
        <w:rPr>
          <w:rFonts w:ascii="Century" w:cs="Century" w:eastAsia="Century" w:hAnsi="Century"/>
          <w:b w:val="1"/>
          <w:bCs w:val="1"/>
        </w:rPr>
      </w:pPr>
      <w:r w:rsidDel="00000000" w:rsidR="00000000" w:rsidRPr="00000000">
        <w:rPr>
          <w:rtl w:val="0"/>
        </w:rPr>
      </w:r>
    </w:p>
    <w:p w:rsidR="00000000" w:rsidDel="00000000" w:rsidP="00000000" w:rsidRDefault="00000000" w:rsidRPr="00000000" w14:paraId="00000003">
      <w:pPr>
        <w:spacing w:line="240" w:lineRule="auto"/>
        <w:jc w:val="both"/>
        <w:rPr>
          <w:rFonts w:ascii="Century" w:cs="Century" w:eastAsia="Century" w:hAnsi="Century"/>
        </w:rPr>
      </w:pPr>
      <w:r w:rsidDel="00000000" w:rsidR="00000000" w:rsidRPr="00000000">
        <w:rPr>
          <w:rFonts w:ascii="Century" w:cs="Century" w:eastAsia="Century" w:hAnsi="Century"/>
          <w:b w:val="1"/>
          <w:bCs w:val="1"/>
          <w:rtl w:val="0"/>
        </w:rPr>
        <w:t xml:space="preserve">National Institute of Technology Delhi (NIT Delhi)</w:t>
      </w:r>
      <w:r w:rsidDel="00000000" w:rsidR="00000000" w:rsidRPr="00000000">
        <w:rPr>
          <w:rtl w:val="0"/>
        </w:rPr>
      </w:r>
    </w:p>
    <w:p w:rsidR="00000000" w:rsidDel="00000000" w:rsidP="00000000" w:rsidRDefault="00000000" w:rsidRPr="00000000" w14:paraId="00000004">
      <w:pPr>
        <w:spacing w:line="240" w:lineRule="auto"/>
        <w:jc w:val="both"/>
        <w:rPr>
          <w:rFonts w:ascii="Century" w:cs="Century" w:eastAsia="Century" w:hAnsi="Century"/>
        </w:rPr>
      </w:pPr>
      <w:r w:rsidDel="00000000" w:rsidR="00000000" w:rsidRPr="00000000">
        <w:rPr>
          <w:rFonts w:ascii="Century" w:cs="Century" w:eastAsia="Century" w:hAnsi="Century"/>
          <w:rtl w:val="0"/>
        </w:rPr>
        <w:t xml:space="preserve">The National Institute of Technology Delhi (NIT Delhi) is committed to protecting the privacy of students, faculty, staff, and visitors interacting with its official web domain (</w:t>
      </w:r>
      <w:r w:rsidDel="00000000" w:rsidR="00000000" w:rsidRPr="00000000">
        <w:rPr>
          <w:rFonts w:ascii="Century" w:cs="Century" w:eastAsia="Century" w:hAnsi="Century"/>
          <w:b w:val="1"/>
          <w:bCs w:val="1"/>
          <w:rtl w:val="0"/>
        </w:rPr>
        <w:t xml:space="preserve">www.nitdelhi.ac.in</w:t>
      </w:r>
      <w:r w:rsidDel="00000000" w:rsidR="00000000" w:rsidRPr="00000000">
        <w:rPr>
          <w:rFonts w:ascii="Century" w:cs="Century" w:eastAsia="Century" w:hAnsi="Century"/>
          <w:rtl w:val="0"/>
        </w:rPr>
        <w:t xml:space="preserve">). This policy details the collection, use, maintenance, and protection of data acquired through the Institute’s official portal and academic subsystems in alignment with national guidelines for autonomous government institutions.</w:t>
      </w:r>
    </w:p>
    <w:p w:rsidR="00000000" w:rsidDel="00000000" w:rsidP="00000000" w:rsidRDefault="00000000" w:rsidRPr="00000000" w14:paraId="00000005">
      <w:pPr>
        <w:spacing w:line="240" w:lineRule="auto"/>
        <w:jc w:val="both"/>
        <w:rPr>
          <w:rFonts w:ascii="Century" w:cs="Century" w:eastAsia="Century" w:hAnsi="Century"/>
          <w:b w:val="1"/>
          <w:bCs w:val="1"/>
        </w:rPr>
      </w:pPr>
      <w:r w:rsidDel="00000000" w:rsidR="00000000" w:rsidRPr="00000000">
        <w:rPr>
          <w:rFonts w:ascii="Century" w:cs="Century" w:eastAsia="Century" w:hAnsi="Century"/>
          <w:b w:val="1"/>
          <w:bCs w:val="1"/>
          <w:rtl w:val="0"/>
        </w:rPr>
        <w:t xml:space="preserve">1. Scope of Data Collection</w:t>
      </w:r>
    </w:p>
    <w:p w:rsidR="00000000" w:rsidDel="00000000" w:rsidP="00000000" w:rsidRDefault="00000000" w:rsidRPr="00000000" w14:paraId="00000006">
      <w:pPr>
        <w:numPr>
          <w:ilvl w:val="0"/>
          <w:numId w:val="1"/>
        </w:numPr>
        <w:spacing w:line="240" w:lineRule="auto"/>
        <w:ind w:left="720" w:hanging="360"/>
        <w:jc w:val="both"/>
        <w:rPr/>
      </w:pPr>
      <w:r w:rsidDel="00000000" w:rsidR="00000000" w:rsidRPr="00000000">
        <w:rPr>
          <w:rFonts w:ascii="Century" w:cs="Century" w:eastAsia="Century" w:hAnsi="Century"/>
          <w:b w:val="1"/>
          <w:bCs w:val="1"/>
          <w:rtl w:val="0"/>
        </w:rPr>
        <w:t xml:space="preserve">Voluntary Personal Information:</w:t>
      </w:r>
      <w:r w:rsidDel="00000000" w:rsidR="00000000" w:rsidRPr="00000000">
        <w:rPr>
          <w:rFonts w:ascii="Century" w:cs="Century" w:eastAsia="Century" w:hAnsi="Century"/>
          <w:rtl w:val="0"/>
        </w:rPr>
        <w:t xml:space="preserve"> The Institute collects personally identifiable information only when voluntarily submitted by users. This includes applicant data gathered via national coordination portals (such as JoSAA/CSAB, CCMT), job applications, statutory RTI submissions, and official academic registration forms. </w:t>
      </w:r>
    </w:p>
    <w:p w:rsidR="00000000" w:rsidDel="00000000" w:rsidP="00000000" w:rsidRDefault="00000000" w:rsidRPr="00000000" w14:paraId="00000007">
      <w:pPr>
        <w:numPr>
          <w:ilvl w:val="0"/>
          <w:numId w:val="1"/>
        </w:numPr>
        <w:spacing w:line="240" w:lineRule="auto"/>
        <w:ind w:left="720" w:hanging="360"/>
        <w:jc w:val="both"/>
        <w:rPr/>
      </w:pPr>
      <w:r w:rsidDel="00000000" w:rsidR="00000000" w:rsidRPr="00000000">
        <w:rPr>
          <w:rFonts w:ascii="Century" w:cs="Century" w:eastAsia="Century" w:hAnsi="Century"/>
          <w:b w:val="1"/>
          <w:bCs w:val="1"/>
          <w:rtl w:val="0"/>
        </w:rPr>
        <w:t xml:space="preserve">Institutional Subsystem Logs:</w:t>
      </w:r>
      <w:r w:rsidDel="00000000" w:rsidR="00000000" w:rsidRPr="00000000">
        <w:rPr>
          <w:rFonts w:ascii="Century" w:cs="Century" w:eastAsia="Century" w:hAnsi="Century"/>
          <w:rtl w:val="0"/>
        </w:rPr>
        <w:t xml:space="preserve"> For authenticated users, the website links directly to internal management resources—specifically the </w:t>
      </w:r>
      <w:r w:rsidDel="00000000" w:rsidR="00000000" w:rsidRPr="00000000">
        <w:rPr>
          <w:rFonts w:ascii="Century" w:cs="Century" w:eastAsia="Century" w:hAnsi="Century"/>
          <w:b w:val="1"/>
          <w:bCs w:val="1"/>
          <w:rtl w:val="0"/>
        </w:rPr>
        <w:t xml:space="preserve">ERP System, Samarth Portal, and the Institute Management System (IMS)</w:t>
      </w:r>
      <w:r w:rsidDel="00000000" w:rsidR="00000000" w:rsidRPr="00000000">
        <w:rPr>
          <w:rFonts w:ascii="Century" w:cs="Century" w:eastAsia="Century" w:hAnsi="Century"/>
          <w:rtl w:val="0"/>
        </w:rPr>
        <w:t xml:space="preserve">. Accessing these services registers transaction logs necessary to securely process examination records, course enrollments, research updates, and payroll administration.</w:t>
      </w:r>
    </w:p>
    <w:p w:rsidR="00000000" w:rsidDel="00000000" w:rsidP="00000000" w:rsidRDefault="00000000" w:rsidRPr="00000000" w14:paraId="00000008">
      <w:pPr>
        <w:numPr>
          <w:ilvl w:val="0"/>
          <w:numId w:val="1"/>
        </w:numPr>
        <w:spacing w:line="240" w:lineRule="auto"/>
        <w:ind w:left="720" w:hanging="360"/>
        <w:jc w:val="both"/>
        <w:rPr/>
      </w:pPr>
      <w:r w:rsidDel="00000000" w:rsidR="00000000" w:rsidRPr="00000000">
        <w:rPr>
          <w:rFonts w:ascii="Century" w:cs="Century" w:eastAsia="Century" w:hAnsi="Century"/>
          <w:b w:val="1"/>
          <w:bCs w:val="1"/>
          <w:rtl w:val="0"/>
        </w:rPr>
        <w:t xml:space="preserve">Non-Personal Technical Logs:</w:t>
      </w:r>
      <w:r w:rsidDel="00000000" w:rsidR="00000000" w:rsidRPr="00000000">
        <w:rPr>
          <w:rFonts w:ascii="Century" w:cs="Century" w:eastAsia="Century" w:hAnsi="Century"/>
          <w:rtl w:val="0"/>
        </w:rPr>
        <w:t xml:space="preserve"> When browsing the site, certain technical data is captured automatically by the hosting servers. This includes the visitor's Internet Protocol (IP) address, operating system, browser configuration, domain provider, and a chronicle of the pages accessed along with time stamps.</w:t>
      </w:r>
    </w:p>
    <w:p w:rsidR="00000000" w:rsidDel="00000000" w:rsidP="00000000" w:rsidRDefault="00000000" w:rsidRPr="00000000" w14:paraId="00000009">
      <w:pPr>
        <w:spacing w:line="240" w:lineRule="auto"/>
        <w:jc w:val="both"/>
        <w:rPr>
          <w:rFonts w:ascii="Century" w:cs="Century" w:eastAsia="Century" w:hAnsi="Century"/>
          <w:b w:val="1"/>
          <w:bCs w:val="1"/>
        </w:rPr>
      </w:pPr>
      <w:r w:rsidDel="00000000" w:rsidR="00000000" w:rsidRPr="00000000">
        <w:rPr>
          <w:rFonts w:ascii="Century" w:cs="Century" w:eastAsia="Century" w:hAnsi="Century"/>
          <w:b w:val="1"/>
          <w:bCs w:val="1"/>
          <w:rtl w:val="0"/>
        </w:rPr>
        <w:t xml:space="preserve">2. Cookies and Tracking Mechanism</w:t>
      </w:r>
    </w:p>
    <w:p w:rsidR="00000000" w:rsidDel="00000000" w:rsidP="00000000" w:rsidRDefault="00000000" w:rsidRPr="00000000" w14:paraId="0000000A">
      <w:pPr>
        <w:spacing w:line="240" w:lineRule="auto"/>
        <w:jc w:val="both"/>
        <w:rPr>
          <w:rFonts w:ascii="Century" w:cs="Century" w:eastAsia="Century" w:hAnsi="Century"/>
        </w:rPr>
      </w:pPr>
      <w:r w:rsidDel="00000000" w:rsidR="00000000" w:rsidRPr="00000000">
        <w:rPr>
          <w:rFonts w:ascii="Century" w:cs="Century" w:eastAsia="Century" w:hAnsi="Century"/>
          <w:rtl w:val="0"/>
        </w:rPr>
        <w:t xml:space="preserve">The NIT Delhi portals utilize functional session cookies strictly to verify identity across its digital ecosystem. These cookies prevent users from having to log in repeatedly when navigating between different department portals or student information dashboards. Session cookies carry no sensitive user credentials and are terminated automatically upon logging out or closing the browser. Users can adjust their personal browser settings to refuse cookies, though certain secure internal features may become inaccessible. </w:t>
      </w:r>
    </w:p>
    <w:p w:rsidR="00000000" w:rsidDel="00000000" w:rsidP="00000000" w:rsidRDefault="00000000" w:rsidRPr="00000000" w14:paraId="0000000B">
      <w:pPr>
        <w:spacing w:line="240" w:lineRule="auto"/>
        <w:jc w:val="both"/>
        <w:rPr>
          <w:rFonts w:ascii="Century" w:cs="Century" w:eastAsia="Century" w:hAnsi="Century"/>
          <w:b w:val="1"/>
          <w:bCs w:val="1"/>
        </w:rPr>
      </w:pPr>
      <w:r w:rsidDel="00000000" w:rsidR="00000000" w:rsidRPr="00000000">
        <w:rPr>
          <w:rFonts w:ascii="Century" w:cs="Century" w:eastAsia="Century" w:hAnsi="Century"/>
          <w:b w:val="1"/>
          <w:bCs w:val="1"/>
          <w:rtl w:val="0"/>
        </w:rPr>
        <w:t xml:space="preserve">3. Purpose and Utilization of Data</w:t>
      </w:r>
    </w:p>
    <w:p w:rsidR="00000000" w:rsidDel="00000000" w:rsidP="00000000" w:rsidRDefault="00000000" w:rsidRPr="00000000" w14:paraId="0000000C">
      <w:pPr>
        <w:spacing w:line="240" w:lineRule="auto"/>
        <w:jc w:val="both"/>
        <w:rPr>
          <w:rFonts w:ascii="Century" w:cs="Century" w:eastAsia="Century" w:hAnsi="Century"/>
        </w:rPr>
      </w:pPr>
      <w:r w:rsidDel="00000000" w:rsidR="00000000" w:rsidRPr="00000000">
        <w:rPr>
          <w:rFonts w:ascii="Century" w:cs="Century" w:eastAsia="Century" w:hAnsi="Century"/>
          <w:rtl w:val="0"/>
        </w:rPr>
        <w:t xml:space="preserve">Data collected through the official domain is used exclusively to support the statutory, academic, and administrative operations of the Institute:</w:t>
      </w:r>
    </w:p>
    <w:p w:rsidR="00000000" w:rsidDel="00000000" w:rsidP="00000000" w:rsidRDefault="00000000" w:rsidRPr="00000000" w14:paraId="0000000D">
      <w:pPr>
        <w:numPr>
          <w:ilvl w:val="0"/>
          <w:numId w:val="2"/>
        </w:numPr>
        <w:spacing w:line="240" w:lineRule="auto"/>
        <w:ind w:left="720" w:hanging="360"/>
        <w:jc w:val="both"/>
        <w:rPr/>
      </w:pPr>
      <w:r w:rsidDel="00000000" w:rsidR="00000000" w:rsidRPr="00000000">
        <w:rPr>
          <w:rFonts w:ascii="Century" w:cs="Century" w:eastAsia="Century" w:hAnsi="Century"/>
          <w:rtl w:val="0"/>
        </w:rPr>
        <w:t xml:space="preserve">Fulfilling core academic cycles including admissions, internal grading, transcripts, and degree verification. </w:t>
      </w:r>
    </w:p>
    <w:p w:rsidR="00000000" w:rsidDel="00000000" w:rsidP="00000000" w:rsidRDefault="00000000" w:rsidRPr="00000000" w14:paraId="0000000E">
      <w:pPr>
        <w:numPr>
          <w:ilvl w:val="0"/>
          <w:numId w:val="2"/>
        </w:numPr>
        <w:spacing w:line="240" w:lineRule="auto"/>
        <w:ind w:left="720" w:hanging="360"/>
        <w:jc w:val="both"/>
        <w:rPr/>
      </w:pPr>
      <w:r w:rsidDel="00000000" w:rsidR="00000000" w:rsidRPr="00000000">
        <w:rPr>
          <w:rFonts w:ascii="Century" w:cs="Century" w:eastAsia="Century" w:hAnsi="Century"/>
          <w:rtl w:val="0"/>
        </w:rPr>
        <w:t xml:space="preserve">Administering institutional human resources and payroll systems for faculty and staff.</w:t>
      </w:r>
    </w:p>
    <w:p w:rsidR="00000000" w:rsidDel="00000000" w:rsidP="00000000" w:rsidRDefault="00000000" w:rsidRPr="00000000" w14:paraId="0000000F">
      <w:pPr>
        <w:numPr>
          <w:ilvl w:val="0"/>
          <w:numId w:val="2"/>
        </w:numPr>
        <w:spacing w:line="240" w:lineRule="auto"/>
        <w:ind w:left="720" w:hanging="360"/>
        <w:jc w:val="both"/>
        <w:rPr/>
      </w:pPr>
      <w:r w:rsidDel="00000000" w:rsidR="00000000" w:rsidRPr="00000000">
        <w:rPr>
          <w:rFonts w:ascii="Century" w:cs="Century" w:eastAsia="Century" w:hAnsi="Century"/>
          <w:rtl w:val="0"/>
        </w:rPr>
        <w:t xml:space="preserve">Compiling structural data for mandatory reporting, including institutional metrics for the </w:t>
      </w:r>
      <w:r w:rsidDel="00000000" w:rsidR="00000000" w:rsidRPr="00000000">
        <w:rPr>
          <w:rFonts w:ascii="Century" w:cs="Century" w:eastAsia="Century" w:hAnsi="Century"/>
          <w:b w:val="1"/>
          <w:bCs w:val="1"/>
          <w:rtl w:val="0"/>
        </w:rPr>
        <w:t xml:space="preserve">Ministry of Education (MoE)</w:t>
      </w:r>
      <w:r w:rsidDel="00000000" w:rsidR="00000000" w:rsidRPr="00000000">
        <w:rPr>
          <w:rFonts w:ascii="Century" w:cs="Century" w:eastAsia="Century" w:hAnsi="Century"/>
          <w:rtl w:val="0"/>
        </w:rPr>
        <w:t xml:space="preserve"> and reporting committees.</w:t>
      </w:r>
    </w:p>
    <w:p w:rsidR="00000000" w:rsidDel="00000000" w:rsidP="00000000" w:rsidRDefault="00000000" w:rsidRPr="00000000" w14:paraId="00000010">
      <w:pPr>
        <w:numPr>
          <w:ilvl w:val="0"/>
          <w:numId w:val="2"/>
        </w:numPr>
        <w:spacing w:line="240" w:lineRule="auto"/>
        <w:ind w:left="720" w:hanging="360"/>
        <w:jc w:val="both"/>
        <w:rPr/>
      </w:pPr>
      <w:r w:rsidDel="00000000" w:rsidR="00000000" w:rsidRPr="00000000">
        <w:rPr>
          <w:rFonts w:ascii="Century" w:cs="Century" w:eastAsia="Century" w:hAnsi="Century"/>
          <w:rtl w:val="0"/>
        </w:rPr>
        <w:t xml:space="preserve">Analyzing anonymized server traffic trends to optimize bandwidth distribution and website structural layout.</w:t>
      </w:r>
    </w:p>
    <w:p w:rsidR="00000000" w:rsidDel="00000000" w:rsidP="00000000" w:rsidRDefault="00000000" w:rsidRPr="00000000" w14:paraId="00000011">
      <w:pPr>
        <w:spacing w:line="240" w:lineRule="auto"/>
        <w:jc w:val="both"/>
        <w:rPr>
          <w:rFonts w:ascii="Century" w:cs="Century" w:eastAsia="Century" w:hAnsi="Century"/>
          <w:b w:val="1"/>
          <w:bCs w:val="1"/>
        </w:rPr>
      </w:pPr>
      <w:r w:rsidDel="00000000" w:rsidR="00000000" w:rsidRPr="00000000">
        <w:rPr>
          <w:rFonts w:ascii="Century" w:cs="Century" w:eastAsia="Century" w:hAnsi="Century"/>
          <w:b w:val="1"/>
          <w:bCs w:val="1"/>
          <w:rtl w:val="0"/>
        </w:rPr>
        <w:t xml:space="preserve">4. Data Sharing and Confidentiality</w:t>
      </w:r>
    </w:p>
    <w:p w:rsidR="00000000" w:rsidDel="00000000" w:rsidP="00000000" w:rsidRDefault="00000000" w:rsidRPr="00000000" w14:paraId="00000012">
      <w:pPr>
        <w:spacing w:line="240" w:lineRule="auto"/>
        <w:jc w:val="both"/>
        <w:rPr>
          <w:rFonts w:ascii="Century" w:cs="Century" w:eastAsia="Century" w:hAnsi="Century"/>
        </w:rPr>
      </w:pPr>
      <w:r w:rsidDel="00000000" w:rsidR="00000000" w:rsidRPr="00000000">
        <w:rPr>
          <w:rFonts w:ascii="Century" w:cs="Century" w:eastAsia="Century" w:hAnsi="Century"/>
          <w:rtl w:val="0"/>
        </w:rPr>
        <w:t xml:space="preserve">NIT Delhi maintains a strict non-disclosure framework. Personal or administrative details will not be sold, rented, shared, or transferred to any third party, except under the following direct mandates:</w:t>
      </w:r>
    </w:p>
    <w:p w:rsidR="00000000" w:rsidDel="00000000" w:rsidP="00000000" w:rsidRDefault="00000000" w:rsidRPr="00000000" w14:paraId="00000013">
      <w:pPr>
        <w:numPr>
          <w:ilvl w:val="0"/>
          <w:numId w:val="3"/>
        </w:numPr>
        <w:spacing w:line="240" w:lineRule="auto"/>
        <w:ind w:left="720" w:hanging="360"/>
        <w:jc w:val="both"/>
        <w:rPr/>
      </w:pPr>
      <w:r w:rsidDel="00000000" w:rsidR="00000000" w:rsidRPr="00000000">
        <w:rPr>
          <w:rFonts w:ascii="Century" w:cs="Century" w:eastAsia="Century" w:hAnsi="Century"/>
          <w:b w:val="1"/>
          <w:bCs w:val="1"/>
          <w:rtl w:val="0"/>
        </w:rPr>
        <w:t xml:space="preserve">Statutory Requirements:</w:t>
      </w:r>
      <w:r w:rsidDel="00000000" w:rsidR="00000000" w:rsidRPr="00000000">
        <w:rPr>
          <w:rFonts w:ascii="Century" w:cs="Century" w:eastAsia="Century" w:hAnsi="Century"/>
          <w:rtl w:val="0"/>
        </w:rPr>
        <w:t xml:space="preserve"> Sharing authorized performance and audited financial records with the Ministry of Education for presentation before both </w:t>
      </w:r>
      <w:r w:rsidDel="00000000" w:rsidR="00000000" w:rsidRPr="00000000">
        <w:rPr>
          <w:rFonts w:ascii="Century" w:cs="Century" w:eastAsia="Century" w:hAnsi="Century"/>
          <w:b w:val="1"/>
          <w:bCs w:val="1"/>
          <w:rtl w:val="0"/>
        </w:rPr>
        <w:t xml:space="preserve">Houses of Parliament</w:t>
      </w:r>
      <w:r w:rsidDel="00000000" w:rsidR="00000000" w:rsidRPr="00000000">
        <w:rPr>
          <w:rFonts w:ascii="Century" w:cs="Century" w:eastAsia="Century" w:hAnsi="Century"/>
          <w:rtl w:val="0"/>
        </w:rPr>
        <w:t xml:space="preserve">, or during standard inspections by the Comptroller and Auditor General (CAG) of India.</w:t>
      </w:r>
    </w:p>
    <w:p w:rsidR="00000000" w:rsidDel="00000000" w:rsidP="00000000" w:rsidRDefault="00000000" w:rsidRPr="00000000" w14:paraId="00000014">
      <w:pPr>
        <w:numPr>
          <w:ilvl w:val="0"/>
          <w:numId w:val="3"/>
        </w:numPr>
        <w:spacing w:line="240" w:lineRule="auto"/>
        <w:ind w:left="720" w:hanging="360"/>
        <w:jc w:val="both"/>
        <w:rPr/>
      </w:pPr>
      <w:r w:rsidDel="00000000" w:rsidR="00000000" w:rsidRPr="00000000">
        <w:rPr>
          <w:rFonts w:ascii="Century" w:cs="Century" w:eastAsia="Century" w:hAnsi="Century"/>
          <w:b w:val="1"/>
          <w:bCs w:val="1"/>
          <w:rtl w:val="0"/>
        </w:rPr>
        <w:t xml:space="preserve">Regulatory Academic Verifications:</w:t>
      </w:r>
      <w:r w:rsidDel="00000000" w:rsidR="00000000" w:rsidRPr="00000000">
        <w:rPr>
          <w:rFonts w:ascii="Century" w:cs="Century" w:eastAsia="Century" w:hAnsi="Century"/>
          <w:rtl w:val="0"/>
        </w:rPr>
        <w:t xml:space="preserve"> Aligning registration and allocation details with national counseling bodies like JoSAA or CCMT.</w:t>
      </w:r>
    </w:p>
    <w:p w:rsidR="00000000" w:rsidDel="00000000" w:rsidP="00000000" w:rsidRDefault="00000000" w:rsidRPr="00000000" w14:paraId="00000015">
      <w:pPr>
        <w:numPr>
          <w:ilvl w:val="0"/>
          <w:numId w:val="3"/>
        </w:numPr>
        <w:spacing w:line="240" w:lineRule="auto"/>
        <w:ind w:left="720" w:hanging="360"/>
        <w:jc w:val="both"/>
        <w:rPr/>
      </w:pPr>
      <w:r w:rsidDel="00000000" w:rsidR="00000000" w:rsidRPr="00000000">
        <w:rPr>
          <w:rFonts w:ascii="Century" w:cs="Century" w:eastAsia="Century" w:hAnsi="Century"/>
          <w:b w:val="1"/>
          <w:bCs w:val="1"/>
          <w:rtl w:val="0"/>
        </w:rPr>
        <w:t xml:space="preserve">Legal &amp; Cybersecurity Compliance:</w:t>
      </w:r>
      <w:r w:rsidDel="00000000" w:rsidR="00000000" w:rsidRPr="00000000">
        <w:rPr>
          <w:rFonts w:ascii="Century" w:cs="Century" w:eastAsia="Century" w:hAnsi="Century"/>
          <w:rtl w:val="0"/>
        </w:rPr>
        <w:t xml:space="preserve"> Disclosing necessary system tracking logs to authorized Indian law enforcement or cybersecurity agencies to prevent security breaches, unauthorized portal overrides, or system vulnerabilities. </w:t>
      </w:r>
    </w:p>
    <w:p w:rsidR="00000000" w:rsidDel="00000000" w:rsidP="00000000" w:rsidRDefault="00000000" w:rsidRPr="00000000" w14:paraId="00000016">
      <w:pPr>
        <w:spacing w:line="240" w:lineRule="auto"/>
        <w:jc w:val="both"/>
        <w:rPr>
          <w:rFonts w:ascii="Century" w:cs="Century" w:eastAsia="Century" w:hAnsi="Century"/>
          <w:b w:val="1"/>
          <w:bCs w:val="1"/>
        </w:rPr>
      </w:pPr>
      <w:r w:rsidDel="00000000" w:rsidR="00000000" w:rsidRPr="00000000">
        <w:rPr>
          <w:rFonts w:ascii="Century" w:cs="Century" w:eastAsia="Century" w:hAnsi="Century"/>
          <w:b w:val="1"/>
          <w:bCs w:val="1"/>
          <w:rtl w:val="0"/>
        </w:rPr>
        <w:t xml:space="preserve">5. GIGW (Guidelines for Indian Government Websites) Alignment</w:t>
      </w:r>
    </w:p>
    <w:p w:rsidR="00000000" w:rsidDel="00000000" w:rsidP="00000000" w:rsidRDefault="00000000" w:rsidRPr="00000000" w14:paraId="00000017">
      <w:pPr>
        <w:spacing w:line="240" w:lineRule="auto"/>
        <w:jc w:val="both"/>
        <w:rPr>
          <w:rFonts w:ascii="Century" w:cs="Century" w:eastAsia="Century" w:hAnsi="Century"/>
        </w:rPr>
      </w:pPr>
      <w:r w:rsidDel="00000000" w:rsidR="00000000" w:rsidRPr="00000000">
        <w:rPr>
          <w:rFonts w:ascii="Century" w:cs="Century" w:eastAsia="Century" w:hAnsi="Century"/>
          <w:rtl w:val="0"/>
        </w:rPr>
        <w:t xml:space="preserve">In adherence to national design and accessibility standards:</w:t>
      </w:r>
    </w:p>
    <w:p w:rsidR="00000000" w:rsidDel="00000000" w:rsidP="00000000" w:rsidRDefault="00000000" w:rsidRPr="00000000" w14:paraId="00000018">
      <w:pPr>
        <w:numPr>
          <w:ilvl w:val="0"/>
          <w:numId w:val="4"/>
        </w:numPr>
        <w:spacing w:line="240" w:lineRule="auto"/>
        <w:ind w:left="720" w:hanging="360"/>
        <w:jc w:val="both"/>
        <w:rPr/>
      </w:pPr>
      <w:r w:rsidDel="00000000" w:rsidR="00000000" w:rsidRPr="00000000">
        <w:rPr>
          <w:rFonts w:ascii="Century" w:cs="Century" w:eastAsia="Century" w:hAnsi="Century"/>
          <w:b w:val="1"/>
          <w:bCs w:val="1"/>
          <w:rtl w:val="0"/>
        </w:rPr>
        <w:t xml:space="preserve">Bilingual Stability:</w:t>
      </w:r>
      <w:r w:rsidDel="00000000" w:rsidR="00000000" w:rsidRPr="00000000">
        <w:rPr>
          <w:rFonts w:ascii="Century" w:cs="Century" w:eastAsia="Century" w:hAnsi="Century"/>
          <w:rtl w:val="0"/>
        </w:rPr>
        <w:t xml:space="preserve"> Toggling user interfaces between Hindi and English does not interrupt or reset active, filled form data.</w:t>
      </w:r>
    </w:p>
    <w:p w:rsidR="00000000" w:rsidDel="00000000" w:rsidP="00000000" w:rsidRDefault="00000000" w:rsidRPr="00000000" w14:paraId="00000019">
      <w:pPr>
        <w:numPr>
          <w:ilvl w:val="0"/>
          <w:numId w:val="4"/>
        </w:numPr>
        <w:spacing w:line="240" w:lineRule="auto"/>
        <w:ind w:left="720" w:hanging="360"/>
        <w:jc w:val="both"/>
        <w:rPr/>
      </w:pPr>
      <w:r w:rsidDel="00000000" w:rsidR="00000000" w:rsidRPr="00000000">
        <w:rPr>
          <w:rFonts w:ascii="Century" w:cs="Century" w:eastAsia="Century" w:hAnsi="Century"/>
          <w:b w:val="1"/>
          <w:bCs w:val="1"/>
          <w:rtl w:val="0"/>
        </w:rPr>
        <w:t xml:space="preserve">Accessibility Integrity:</w:t>
      </w:r>
      <w:r w:rsidDel="00000000" w:rsidR="00000000" w:rsidRPr="00000000">
        <w:rPr>
          <w:rFonts w:ascii="Century" w:cs="Century" w:eastAsia="Century" w:hAnsi="Century"/>
          <w:rtl w:val="0"/>
        </w:rPr>
        <w:t xml:space="preserve"> Active session elements do not conflict with specialized site features deployed for accessibility adjustments (such as screen reading software or contrast controls).</w:t>
      </w:r>
    </w:p>
    <w:p w:rsidR="00000000" w:rsidDel="00000000" w:rsidP="00000000" w:rsidRDefault="00000000" w:rsidRPr="00000000" w14:paraId="0000001A">
      <w:pPr>
        <w:numPr>
          <w:ilvl w:val="0"/>
          <w:numId w:val="4"/>
        </w:numPr>
        <w:spacing w:line="240" w:lineRule="auto"/>
        <w:ind w:left="720" w:hanging="360"/>
        <w:jc w:val="both"/>
        <w:rPr/>
      </w:pPr>
      <w:r w:rsidDel="00000000" w:rsidR="00000000" w:rsidRPr="00000000">
        <w:rPr>
          <w:rFonts w:ascii="Century" w:cs="Century" w:eastAsia="Century" w:hAnsi="Century"/>
          <w:b w:val="1"/>
          <w:bCs w:val="1"/>
          <w:rtl w:val="0"/>
        </w:rPr>
        <w:t xml:space="preserve">Link Governance:</w:t>
      </w:r>
      <w:r w:rsidDel="00000000" w:rsidR="00000000" w:rsidRPr="00000000">
        <w:rPr>
          <w:rFonts w:ascii="Century" w:cs="Century" w:eastAsia="Century" w:hAnsi="Century"/>
          <w:rtl w:val="0"/>
        </w:rPr>
        <w:t xml:space="preserve"> External links are routinely vetted by the institutional IT cell to prevent broken navigation or unintended redirects.</w:t>
      </w:r>
    </w:p>
    <w:p w:rsidR="00000000" w:rsidDel="00000000" w:rsidP="00000000" w:rsidRDefault="00000000" w:rsidRPr="00000000" w14:paraId="0000001B">
      <w:pPr>
        <w:spacing w:line="240" w:lineRule="auto"/>
        <w:jc w:val="both"/>
        <w:rPr>
          <w:rFonts w:ascii="Century" w:cs="Century" w:eastAsia="Century" w:hAnsi="Century"/>
          <w:b w:val="1"/>
          <w:bCs w:val="1"/>
        </w:rPr>
      </w:pPr>
      <w:r w:rsidDel="00000000" w:rsidR="00000000" w:rsidRPr="00000000">
        <w:rPr>
          <w:rFonts w:ascii="Century" w:cs="Century" w:eastAsia="Century" w:hAnsi="Century"/>
          <w:b w:val="1"/>
          <w:bCs w:val="1"/>
          <w:rtl w:val="0"/>
        </w:rPr>
        <w:t xml:space="preserve">6. Information Security</w:t>
      </w:r>
    </w:p>
    <w:p w:rsidR="00000000" w:rsidDel="00000000" w:rsidP="00000000" w:rsidRDefault="00000000" w:rsidRPr="00000000" w14:paraId="0000001C">
      <w:pPr>
        <w:spacing w:line="240" w:lineRule="auto"/>
        <w:jc w:val="both"/>
        <w:rPr>
          <w:rFonts w:ascii="Century" w:cs="Century" w:eastAsia="Century" w:hAnsi="Century"/>
        </w:rPr>
      </w:pPr>
      <w:r w:rsidDel="00000000" w:rsidR="00000000" w:rsidRPr="00000000">
        <w:rPr>
          <w:rFonts w:ascii="Century" w:cs="Century" w:eastAsia="Century" w:hAnsi="Century"/>
          <w:rtl w:val="0"/>
        </w:rPr>
        <w:t xml:space="preserve">The Institute employs robust administrative, physical, and digital safeguards (such as secure network firewalls and SSL data encryption) to prevent unauthorized file modifications or breaches. While all standard institutional precautions are taken to protect student and staff profiles, users must note that no data transmission over the open web is completely immune to risks, and individual network caution is always advised. </w:t>
      </w:r>
    </w:p>
    <w:p w:rsidR="00000000" w:rsidDel="00000000" w:rsidP="00000000" w:rsidRDefault="00000000" w:rsidRPr="00000000" w14:paraId="0000001D">
      <w:pPr>
        <w:spacing w:line="240" w:lineRule="auto"/>
        <w:jc w:val="both"/>
        <w:rPr>
          <w:rFonts w:ascii="Century" w:cs="Century" w:eastAsia="Century" w:hAnsi="Century"/>
          <w:b w:val="1"/>
          <w:bCs w:val="1"/>
        </w:rPr>
      </w:pPr>
      <w:r w:rsidDel="00000000" w:rsidR="00000000" w:rsidRPr="00000000">
        <w:rPr>
          <w:rFonts w:ascii="Century" w:cs="Century" w:eastAsia="Century" w:hAnsi="Century"/>
          <w:b w:val="1"/>
          <w:bCs w:val="1"/>
          <w:rtl w:val="0"/>
        </w:rPr>
        <w:t xml:space="preserve">7. External Portals</w:t>
      </w:r>
    </w:p>
    <w:p w:rsidR="00000000" w:rsidDel="00000000" w:rsidP="00000000" w:rsidRDefault="00000000" w:rsidRPr="00000000" w14:paraId="0000001E">
      <w:pPr>
        <w:spacing w:line="240" w:lineRule="auto"/>
        <w:jc w:val="both"/>
        <w:rPr>
          <w:rFonts w:ascii="Century" w:cs="Century" w:eastAsia="Century" w:hAnsi="Century"/>
        </w:rPr>
      </w:pPr>
      <w:r w:rsidDel="00000000" w:rsidR="00000000" w:rsidRPr="00000000">
        <w:rPr>
          <w:rFonts w:ascii="Century" w:cs="Century" w:eastAsia="Century" w:hAnsi="Century"/>
          <w:rtl w:val="0"/>
        </w:rPr>
        <w:t xml:space="preserve">The website links out to select exterior platforms, such as government scholarship databases and authorized banking payment gateways for fee submissions. NIT Delhi does not control, and bears no responsibility for, the independent privacy policies or data monitoring software running on these non-institute domains.</w:t>
      </w:r>
    </w:p>
    <w:p w:rsidR="00000000" w:rsidDel="00000000" w:rsidP="00000000" w:rsidRDefault="00000000" w:rsidRPr="00000000" w14:paraId="0000001F">
      <w:pPr>
        <w:spacing w:line="240" w:lineRule="auto"/>
        <w:jc w:val="both"/>
        <w:rPr>
          <w:rFonts w:ascii="Century" w:cs="Century" w:eastAsia="Century" w:hAnsi="Century"/>
          <w:b w:val="1"/>
          <w:bCs w:val="1"/>
        </w:rPr>
      </w:pPr>
      <w:r w:rsidDel="00000000" w:rsidR="00000000" w:rsidRPr="00000000">
        <w:rPr>
          <w:rFonts w:ascii="Century" w:cs="Century" w:eastAsia="Century" w:hAnsi="Century"/>
          <w:b w:val="1"/>
          <w:bCs w:val="1"/>
          <w:rtl w:val="0"/>
        </w:rPr>
        <w:t xml:space="preserve">8. Policy Revisions</w:t>
      </w:r>
    </w:p>
    <w:p w:rsidR="00000000" w:rsidDel="00000000" w:rsidP="00000000" w:rsidRDefault="00000000" w:rsidRPr="00000000" w14:paraId="00000020">
      <w:pPr>
        <w:spacing w:line="240" w:lineRule="auto"/>
        <w:jc w:val="both"/>
        <w:rPr>
          <w:rFonts w:ascii="Century" w:cs="Century" w:eastAsia="Century" w:hAnsi="Century"/>
        </w:rPr>
      </w:pPr>
      <w:r w:rsidDel="00000000" w:rsidR="00000000" w:rsidRPr="00000000">
        <w:rPr>
          <w:rFonts w:ascii="Century" w:cs="Century" w:eastAsia="Century" w:hAnsi="Century"/>
          <w:rtl w:val="0"/>
        </w:rPr>
        <w:t xml:space="preserve">This Privacy Policy may be updated dynamically to mirror updates in national IT regulations, statutory rules, or institutional protocols. All modifications become effective immediately upon their official publication on this page.</w:t>
      </w:r>
    </w:p>
    <w:p w:rsidR="00000000" w:rsidDel="00000000" w:rsidP="00000000" w:rsidRDefault="00000000" w:rsidRPr="00000000" w14:paraId="00000021">
      <w:pPr>
        <w:spacing w:line="240" w:lineRule="auto"/>
        <w:jc w:val="both"/>
        <w:rPr>
          <w:rFonts w:ascii="Century" w:cs="Century" w:eastAsia="Century" w:hAnsi="Century"/>
          <w:b w:val="1"/>
          <w:bCs w:val="1"/>
        </w:rPr>
      </w:pPr>
      <w:r w:rsidDel="00000000" w:rsidR="00000000" w:rsidRPr="00000000">
        <w:rPr>
          <w:rFonts w:ascii="Century" w:cs="Century" w:eastAsia="Century" w:hAnsi="Century"/>
          <w:b w:val="1"/>
          <w:bCs w:val="1"/>
          <w:rtl w:val="0"/>
        </w:rPr>
        <w:t xml:space="preserve">9. Administrative Contact</w:t>
      </w:r>
    </w:p>
    <w:p w:rsidR="00000000" w:rsidDel="00000000" w:rsidP="00000000" w:rsidRDefault="00000000" w:rsidRPr="00000000" w14:paraId="00000022">
      <w:pPr>
        <w:spacing w:line="240" w:lineRule="auto"/>
        <w:jc w:val="both"/>
        <w:rPr>
          <w:rFonts w:ascii="Century" w:cs="Century" w:eastAsia="Century" w:hAnsi="Century"/>
        </w:rPr>
      </w:pPr>
      <w:r w:rsidDel="00000000" w:rsidR="00000000" w:rsidRPr="00000000">
        <w:rPr>
          <w:rFonts w:ascii="Century" w:cs="Century" w:eastAsia="Century" w:hAnsi="Century"/>
          <w:rtl w:val="0"/>
        </w:rPr>
        <w:t xml:space="preserve">For regulatory questions regarding user data or institutional portal tracking, inquiries may be addressed to:</w:t>
      </w:r>
    </w:p>
    <w:p w:rsidR="00000000" w:rsidDel="00000000" w:rsidP="00000000" w:rsidRDefault="00000000" w:rsidRPr="00000000" w14:paraId="00000023">
      <w:pPr>
        <w:spacing w:after="0" w:line="240" w:lineRule="auto"/>
        <w:ind w:left="720" w:firstLine="0"/>
        <w:jc w:val="both"/>
        <w:rPr>
          <w:rFonts w:ascii="Century" w:cs="Century" w:eastAsia="Century" w:hAnsi="Century"/>
        </w:rPr>
      </w:pPr>
      <w:r w:rsidDel="00000000" w:rsidR="00000000" w:rsidRPr="00000000">
        <w:rPr>
          <w:rFonts w:ascii="Century" w:cs="Century" w:eastAsia="Century" w:hAnsi="Century"/>
          <w:b w:val="1"/>
          <w:bCs w:val="1"/>
          <w:rtl w:val="0"/>
        </w:rPr>
        <w:t xml:space="preserve">The Registrar / Competent Authority</w:t>
      </w:r>
      <w:r w:rsidDel="00000000" w:rsidR="00000000" w:rsidRPr="00000000">
        <w:rPr>
          <w:rtl w:val="0"/>
        </w:rPr>
      </w:r>
    </w:p>
    <w:p w:rsidR="00000000" w:rsidDel="00000000" w:rsidP="00000000" w:rsidRDefault="00000000" w:rsidRPr="00000000" w14:paraId="00000024">
      <w:pPr>
        <w:spacing w:after="0" w:line="240" w:lineRule="auto"/>
        <w:ind w:left="720" w:firstLine="0"/>
        <w:jc w:val="both"/>
        <w:rPr>
          <w:rFonts w:ascii="Century" w:cs="Century" w:eastAsia="Century" w:hAnsi="Century"/>
        </w:rPr>
      </w:pPr>
      <w:r w:rsidDel="00000000" w:rsidR="00000000" w:rsidRPr="00000000">
        <w:rPr>
          <w:rFonts w:ascii="Century" w:cs="Century" w:eastAsia="Century" w:hAnsi="Century"/>
          <w:rtl w:val="0"/>
        </w:rPr>
        <w:t xml:space="preserve">National Institute of Technology Delhi</w:t>
      </w:r>
    </w:p>
    <w:p w:rsidR="00000000" w:rsidDel="00000000" w:rsidP="00000000" w:rsidRDefault="00000000" w:rsidRPr="00000000" w14:paraId="00000025">
      <w:pPr>
        <w:spacing w:after="0" w:line="240" w:lineRule="auto"/>
        <w:ind w:left="720" w:firstLine="0"/>
        <w:jc w:val="both"/>
        <w:rPr>
          <w:rFonts w:ascii="Century" w:cs="Century" w:eastAsia="Century" w:hAnsi="Century"/>
        </w:rPr>
      </w:pPr>
      <w:r w:rsidDel="00000000" w:rsidR="00000000" w:rsidRPr="00000000">
        <w:rPr>
          <w:rFonts w:ascii="Century" w:cs="Century" w:eastAsia="Century" w:hAnsi="Century"/>
          <w:rtl w:val="0"/>
        </w:rPr>
        <w:t xml:space="preserve">Plot No. FA7, Zone P1, GT Karnal Road, Delhi-110036 </w:t>
      </w:r>
    </w:p>
    <w:p w:rsidR="00000000" w:rsidDel="00000000" w:rsidP="00000000" w:rsidRDefault="00000000" w:rsidRPr="00000000" w14:paraId="00000026">
      <w:pPr>
        <w:spacing w:after="0" w:line="240" w:lineRule="auto"/>
        <w:ind w:left="720" w:firstLine="0"/>
        <w:jc w:val="both"/>
        <w:rPr>
          <w:rFonts w:ascii="Century" w:cs="Century" w:eastAsia="Century" w:hAnsi="Century"/>
        </w:rPr>
      </w:pPr>
      <w:r w:rsidDel="00000000" w:rsidR="00000000" w:rsidRPr="00000000">
        <w:rPr>
          <w:rFonts w:ascii="Century" w:cs="Century" w:eastAsia="Century" w:hAnsi="Century"/>
          <w:b w:val="1"/>
          <w:bCs w:val="1"/>
          <w:rtl w:val="0"/>
        </w:rPr>
        <w:t xml:space="preserve">Email:</w:t>
      </w:r>
      <w:r w:rsidDel="00000000" w:rsidR="00000000" w:rsidRPr="00000000">
        <w:rPr>
          <w:rFonts w:ascii="Century" w:cs="Century" w:eastAsia="Century" w:hAnsi="Century"/>
          <w:rtl w:val="0"/>
        </w:rPr>
        <w:t xml:space="preserve"> registrar@nitdelhi.ac.in</w:t>
      </w:r>
    </w:p>
    <w:p w:rsidR="00000000" w:rsidDel="00000000" w:rsidP="00000000" w:rsidRDefault="00000000" w:rsidRPr="00000000" w14:paraId="00000027">
      <w:pPr>
        <w:spacing w:line="240" w:lineRule="auto"/>
        <w:jc w:val="both"/>
        <w:rPr>
          <w:rFonts w:ascii="Century" w:cs="Century" w:eastAsia="Century" w:hAnsi="Century"/>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 w:name="Century"/>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